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51FA" w14:textId="77777777" w:rsidR="00991BC3" w:rsidRPr="00991BC3" w:rsidRDefault="00000000" w:rsidP="00991BC3">
      <w:r>
        <w:pict w14:anchorId="4EF87A81">
          <v:rect id="_x0000_i1025" style="width:0;height:1.5pt" o:hralign="center" o:hrstd="t" o:hr="t" fillcolor="#a0a0a0" stroked="f"/>
        </w:pict>
      </w:r>
    </w:p>
    <w:p w14:paraId="5BE4B664" w14:textId="0FAB4CCE" w:rsidR="00991BC3" w:rsidRPr="00991BC3" w:rsidRDefault="00991BC3" w:rsidP="00991BC3">
      <w:r w:rsidRPr="00991BC3">
        <w:rPr>
          <w:b/>
          <w:bCs/>
        </w:rPr>
        <w:t>Feldon Housing</w:t>
      </w:r>
      <w:r w:rsidRPr="00991BC3">
        <w:br/>
      </w:r>
      <w:r w:rsidRPr="00991BC3">
        <w:rPr>
          <w:b/>
          <w:bCs/>
        </w:rPr>
        <w:t>Annual Complaints Performance and Improvement Report</w:t>
      </w:r>
      <w:r w:rsidRPr="00991BC3">
        <w:br/>
      </w:r>
      <w:r w:rsidRPr="00991BC3">
        <w:rPr>
          <w:b/>
          <w:bCs/>
        </w:rPr>
        <w:t xml:space="preserve">Reporting Year: </w:t>
      </w:r>
      <w:r w:rsidR="00477E50">
        <w:rPr>
          <w:b/>
          <w:bCs/>
        </w:rPr>
        <w:t>March 2024- February 2025</w:t>
      </w:r>
    </w:p>
    <w:p w14:paraId="7035FA9C" w14:textId="77777777" w:rsidR="00991BC3" w:rsidRPr="00991BC3" w:rsidRDefault="00000000" w:rsidP="00991BC3">
      <w:r>
        <w:pict w14:anchorId="2D808C18">
          <v:rect id="_x0000_i1026" style="width:0;height:1.5pt" o:hralign="center" o:hrstd="t" o:hr="t" fillcolor="#a0a0a0" stroked="f"/>
        </w:pict>
      </w:r>
    </w:p>
    <w:p w14:paraId="61DC1C2B" w14:textId="77777777" w:rsidR="00991BC3" w:rsidRPr="00991BC3" w:rsidRDefault="00991BC3" w:rsidP="00991BC3">
      <w:pPr>
        <w:rPr>
          <w:b/>
          <w:bCs/>
        </w:rPr>
      </w:pPr>
      <w:r w:rsidRPr="00991BC3">
        <w:rPr>
          <w:b/>
          <w:bCs/>
        </w:rPr>
        <w:t>1. Introduction</w:t>
      </w:r>
    </w:p>
    <w:p w14:paraId="5431943B" w14:textId="769A5C64" w:rsidR="00991BC3" w:rsidRPr="00991BC3" w:rsidRDefault="00D57E9A" w:rsidP="00991BC3">
      <w:pPr>
        <w:numPr>
          <w:ilvl w:val="0"/>
          <w:numId w:val="1"/>
        </w:numPr>
      </w:pPr>
      <w:r>
        <w:t xml:space="preserve">This report </w:t>
      </w:r>
      <w:r w:rsidR="00776006" w:rsidRPr="00776006">
        <w:t>sets out Feldon Housing’s performance in handling complaints over the past year. It demonstrates our compliance with the Housing Ombudsman’s Complaints Handling Code 2024 and outlines how we use complaints to improve our services.</w:t>
      </w:r>
    </w:p>
    <w:p w14:paraId="0D1089E2" w14:textId="7C12E8F5" w:rsidR="00991BC3" w:rsidRPr="00991BC3" w:rsidRDefault="00BE25DD" w:rsidP="00991BC3">
      <w:pPr>
        <w:numPr>
          <w:ilvl w:val="0"/>
          <w:numId w:val="1"/>
        </w:numPr>
      </w:pPr>
      <w:r w:rsidRPr="00BE25DD">
        <w:t>At Feldon Housing, we view complaints as a valuable source of feedback. We are committed to handling complaints fairly, promptly, and transparently, and to using the insights gained to continuously improve our services and strengthen trust with our residents.</w:t>
      </w:r>
    </w:p>
    <w:p w14:paraId="4E864C89" w14:textId="318514AB" w:rsidR="00991BC3" w:rsidRPr="00991BC3" w:rsidRDefault="00BE25DD" w:rsidP="00991BC3">
      <w:pPr>
        <w:numPr>
          <w:ilvl w:val="0"/>
          <w:numId w:val="1"/>
        </w:numPr>
      </w:pPr>
      <w:r>
        <w:t xml:space="preserve">Feldon Housing did not receive any complaints </w:t>
      </w:r>
      <w:r w:rsidR="00020CF6">
        <w:t>for consideration under our complaints policy.  As a small registered provider of social housing with just 8 properties</w:t>
      </w:r>
      <w:r w:rsidR="00684645">
        <w:t xml:space="preserve"> in the same location</w:t>
      </w:r>
      <w:r w:rsidR="00020CF6">
        <w:t xml:space="preserve"> we are in regular contact with all our tenants and are able to resolve service requests quickly and in a personalised way</w:t>
      </w:r>
      <w:r w:rsidR="00684645">
        <w:t xml:space="preserve"> and before issues have become a complaint.</w:t>
      </w:r>
    </w:p>
    <w:p w14:paraId="11330EC5" w14:textId="77777777" w:rsidR="00991BC3" w:rsidRPr="00991BC3" w:rsidRDefault="00000000" w:rsidP="00991BC3">
      <w:r>
        <w:pict w14:anchorId="378B3768">
          <v:rect id="_x0000_i1027" style="width:0;height:1.5pt" o:hralign="center" o:hrstd="t" o:hr="t" fillcolor="#a0a0a0" stroked="f"/>
        </w:pict>
      </w:r>
    </w:p>
    <w:p w14:paraId="7A111041" w14:textId="6E668CE5" w:rsidR="00991BC3" w:rsidRPr="00991BC3" w:rsidRDefault="00684645" w:rsidP="00991BC3">
      <w:pPr>
        <w:rPr>
          <w:b/>
          <w:bCs/>
        </w:rPr>
      </w:pPr>
      <w:r>
        <w:rPr>
          <w:b/>
          <w:bCs/>
        </w:rPr>
        <w:t>2</w:t>
      </w:r>
      <w:r w:rsidR="00991BC3" w:rsidRPr="00991BC3">
        <w:rPr>
          <w:b/>
          <w:bCs/>
        </w:rPr>
        <w:t>. Compliance with the Housing Ombudsman’s Complaints Handling Code</w:t>
      </w:r>
    </w:p>
    <w:p w14:paraId="7BA97D54" w14:textId="05AE26BB" w:rsidR="00991BC3" w:rsidRPr="00991BC3" w:rsidRDefault="00684645" w:rsidP="00991BC3">
      <w:pPr>
        <w:numPr>
          <w:ilvl w:val="0"/>
          <w:numId w:val="3"/>
        </w:numPr>
      </w:pPr>
      <w:r>
        <w:t xml:space="preserve">The Housing Ombudsman has published </w:t>
      </w:r>
      <w:r w:rsidR="005B4079">
        <w:t>a statutory Complaints Handling Code.  This sets out how registered providers of social housing must approach complaints</w:t>
      </w:r>
      <w:r w:rsidR="002461C1">
        <w:t xml:space="preserve"> and learn from them.</w:t>
      </w:r>
    </w:p>
    <w:p w14:paraId="3039F920" w14:textId="23CE10C9" w:rsidR="00991BC3" w:rsidRPr="00991BC3" w:rsidRDefault="00F33D42" w:rsidP="00991BC3">
      <w:pPr>
        <w:numPr>
          <w:ilvl w:val="0"/>
          <w:numId w:val="3"/>
        </w:numPr>
      </w:pPr>
      <w:r>
        <w:t>The Code requires Feldon Housing to assess itself every year against the Code</w:t>
      </w:r>
      <w:r w:rsidR="00EA00B8">
        <w:t xml:space="preserve"> and to report where it is non</w:t>
      </w:r>
      <w:r w:rsidR="00472ABD">
        <w:t>-</w:t>
      </w:r>
      <w:r w:rsidR="00EA00B8">
        <w:t xml:space="preserve">compliant.  Feldon Housing carried out </w:t>
      </w:r>
      <w:r w:rsidR="00472ABD">
        <w:t>a self-assessment in June 2025 and the Feldon Housing Board have reviewed and approved the self-assessment.</w:t>
      </w:r>
      <w:r w:rsidR="0069432C">
        <w:t xml:space="preserve">  If you would like a copy of the full self-assessment</w:t>
      </w:r>
      <w:r w:rsidR="006A4A8B">
        <w:t>,</w:t>
      </w:r>
      <w:r w:rsidR="0069432C">
        <w:t xml:space="preserve"> please contact us </w:t>
      </w:r>
      <w:r w:rsidR="00524218">
        <w:t xml:space="preserve">at </w:t>
      </w:r>
      <w:hyperlink r:id="rId5" w:history="1">
        <w:r w:rsidR="00662EEC" w:rsidRPr="007C1006">
          <w:rPr>
            <w:rStyle w:val="Hyperlink"/>
          </w:rPr>
          <w:t>info@feldonhousing.co.uk</w:t>
        </w:r>
      </w:hyperlink>
      <w:r w:rsidR="00662EEC">
        <w:t xml:space="preserve"> or by calling our office on 01608 686626.</w:t>
      </w:r>
    </w:p>
    <w:p w14:paraId="10FC3A18" w14:textId="77777777" w:rsidR="00607D68" w:rsidRDefault="00C246EE" w:rsidP="00991BC3">
      <w:pPr>
        <w:numPr>
          <w:ilvl w:val="0"/>
          <w:numId w:val="3"/>
        </w:numPr>
      </w:pPr>
      <w:r>
        <w:t>Feldon Housing has a Member Responsible for Complaints</w:t>
      </w:r>
      <w:r w:rsidR="00536849">
        <w:t>, Sadek Ahmed</w:t>
      </w:r>
      <w:r w:rsidR="00F350B9">
        <w:t>.</w:t>
      </w:r>
      <w:r>
        <w:t xml:space="preserve">  </w:t>
      </w:r>
      <w:r w:rsidR="00F350B9">
        <w:t>Sadek</w:t>
      </w:r>
      <w:r>
        <w:t xml:space="preserve"> is a </w:t>
      </w:r>
      <w:r w:rsidR="0072070C">
        <w:t xml:space="preserve">Board Member who has no day to involvement in the delivery of services to Feldon Housing tenants.  </w:t>
      </w:r>
    </w:p>
    <w:p w14:paraId="2EAA8FC2" w14:textId="77777777" w:rsidR="00607D68" w:rsidRDefault="00607D68" w:rsidP="00CD2278">
      <w:pPr>
        <w:ind w:left="720"/>
      </w:pPr>
    </w:p>
    <w:p w14:paraId="727FDC1B" w14:textId="77777777" w:rsidR="00607D68" w:rsidRDefault="00607D68" w:rsidP="00CD2278">
      <w:pPr>
        <w:ind w:left="720"/>
      </w:pPr>
    </w:p>
    <w:p w14:paraId="4CF36DD7" w14:textId="6059DCFE" w:rsidR="00F350B9" w:rsidRDefault="00F350B9" w:rsidP="00607D68">
      <w:pPr>
        <w:ind w:left="720"/>
      </w:pPr>
      <w:r>
        <w:lastRenderedPageBreak/>
        <w:t>Sadek has made the following statement about the recent self-assessment:</w:t>
      </w:r>
    </w:p>
    <w:p w14:paraId="27E37DEF" w14:textId="2F9A02BD" w:rsidR="00F350B9" w:rsidRDefault="006C16B7" w:rsidP="003E0660">
      <w:pPr>
        <w:ind w:left="720"/>
        <w:rPr>
          <w:i/>
          <w:iCs/>
          <w:sz w:val="28"/>
          <w:szCs w:val="28"/>
        </w:rPr>
      </w:pPr>
      <w:r w:rsidRPr="006C16B7">
        <w:rPr>
          <w:i/>
          <w:iCs/>
          <w:sz w:val="28"/>
          <w:szCs w:val="28"/>
        </w:rPr>
        <w:t>“</w:t>
      </w:r>
      <w:r w:rsidR="003E0660" w:rsidRPr="006C16B7">
        <w:rPr>
          <w:i/>
          <w:iCs/>
          <w:sz w:val="28"/>
          <w:szCs w:val="28"/>
        </w:rPr>
        <w:t>I have fully reviewed the self-assessment and am able to confirm that overall</w:t>
      </w:r>
      <w:r>
        <w:rPr>
          <w:i/>
          <w:iCs/>
          <w:sz w:val="28"/>
          <w:szCs w:val="28"/>
        </w:rPr>
        <w:t>,</w:t>
      </w:r>
      <w:r w:rsidR="003E0660" w:rsidRPr="006C16B7">
        <w:rPr>
          <w:i/>
          <w:iCs/>
          <w:sz w:val="28"/>
          <w:szCs w:val="28"/>
        </w:rPr>
        <w:t xml:space="preserve"> Feldon Housing is compliant with the Code.  As a </w:t>
      </w:r>
      <w:r w:rsidRPr="006C16B7">
        <w:rPr>
          <w:i/>
          <w:iCs/>
          <w:sz w:val="28"/>
          <w:szCs w:val="28"/>
        </w:rPr>
        <w:t>small landlord, I am satisfied that we approach complaints handling in a way which is proportionate to our size”</w:t>
      </w:r>
    </w:p>
    <w:p w14:paraId="26AF31ED" w14:textId="75C7B0B4" w:rsidR="006C16B7" w:rsidRPr="006C16B7" w:rsidRDefault="006C16B7" w:rsidP="003E0660">
      <w:pPr>
        <w:ind w:left="720"/>
        <w:rPr>
          <w:sz w:val="20"/>
          <w:szCs w:val="20"/>
        </w:rPr>
      </w:pPr>
      <w:r w:rsidRPr="006C16B7">
        <w:rPr>
          <w:sz w:val="20"/>
          <w:szCs w:val="20"/>
        </w:rPr>
        <w:t>Sadek Ahmed, non-Executive Director, Feldon Housing and Member Responsible for Complaints</w:t>
      </w:r>
    </w:p>
    <w:p w14:paraId="7F3FA5D5" w14:textId="77777777" w:rsidR="00991BC3" w:rsidRPr="00991BC3" w:rsidRDefault="00000000" w:rsidP="00991BC3">
      <w:r>
        <w:pict w14:anchorId="17E7FDF0">
          <v:rect id="_x0000_i1028" style="width:0;height:1.5pt" o:hralign="center" o:hrstd="t" o:hr="t" fillcolor="#a0a0a0" stroked="f"/>
        </w:pict>
      </w:r>
    </w:p>
    <w:p w14:paraId="47C9D23E" w14:textId="6BD87DEC" w:rsidR="00991BC3" w:rsidRPr="00991BC3" w:rsidRDefault="00991BC3" w:rsidP="00991BC3">
      <w:pPr>
        <w:rPr>
          <w:b/>
          <w:bCs/>
        </w:rPr>
      </w:pPr>
      <w:r w:rsidRPr="00991BC3">
        <w:rPr>
          <w:b/>
          <w:bCs/>
        </w:rPr>
        <w:t xml:space="preserve">4. </w:t>
      </w:r>
      <w:r w:rsidR="00A70292">
        <w:rPr>
          <w:b/>
          <w:bCs/>
        </w:rPr>
        <w:t>Service Requests and C</w:t>
      </w:r>
      <w:r w:rsidRPr="00991BC3">
        <w:rPr>
          <w:b/>
          <w:bCs/>
        </w:rPr>
        <w:t>omplaint</w:t>
      </w:r>
      <w:r w:rsidR="00A70292">
        <w:rPr>
          <w:b/>
          <w:bCs/>
        </w:rPr>
        <w:t>s</w:t>
      </w:r>
      <w:r w:rsidRPr="00991BC3">
        <w:rPr>
          <w:b/>
          <w:bCs/>
        </w:rPr>
        <w:t xml:space="preserve"> Volumes and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67"/>
        <w:gridCol w:w="984"/>
      </w:tblGrid>
      <w:tr w:rsidR="00991BC3" w:rsidRPr="00991BC3" w14:paraId="6365206B" w14:textId="77777777" w:rsidTr="00991BC3">
        <w:trPr>
          <w:tblHeader/>
          <w:tblCellSpacing w:w="15" w:type="dxa"/>
        </w:trPr>
        <w:tc>
          <w:tcPr>
            <w:tcW w:w="0" w:type="auto"/>
            <w:vAlign w:val="center"/>
            <w:hideMark/>
          </w:tcPr>
          <w:p w14:paraId="68A692A0" w14:textId="77777777" w:rsidR="00991BC3" w:rsidRDefault="00991BC3" w:rsidP="00991BC3">
            <w:pPr>
              <w:rPr>
                <w:b/>
                <w:bCs/>
              </w:rPr>
            </w:pPr>
            <w:r w:rsidRPr="00991BC3">
              <w:rPr>
                <w:b/>
                <w:bCs/>
              </w:rPr>
              <w:t>Metric</w:t>
            </w:r>
          </w:p>
          <w:p w14:paraId="249363BA" w14:textId="2ABC9608" w:rsidR="00A70292" w:rsidRPr="00991BC3" w:rsidRDefault="00A70292" w:rsidP="00991BC3">
            <w:r w:rsidRPr="00A70292">
              <w:t>Service requests received</w:t>
            </w:r>
          </w:p>
        </w:tc>
        <w:tc>
          <w:tcPr>
            <w:tcW w:w="0" w:type="auto"/>
            <w:vAlign w:val="center"/>
            <w:hideMark/>
          </w:tcPr>
          <w:p w14:paraId="456589D2" w14:textId="77777777" w:rsidR="00991BC3" w:rsidRPr="00991BC3" w:rsidRDefault="00991BC3" w:rsidP="00991BC3">
            <w:pPr>
              <w:rPr>
                <w:b/>
                <w:bCs/>
              </w:rPr>
            </w:pPr>
            <w:r w:rsidRPr="00991BC3">
              <w:rPr>
                <w:b/>
                <w:bCs/>
              </w:rPr>
              <w:t>Number</w:t>
            </w:r>
          </w:p>
        </w:tc>
      </w:tr>
      <w:tr w:rsidR="00991BC3" w:rsidRPr="00991BC3" w14:paraId="76625062" w14:textId="77777777" w:rsidTr="00991BC3">
        <w:trPr>
          <w:tblCellSpacing w:w="15" w:type="dxa"/>
        </w:trPr>
        <w:tc>
          <w:tcPr>
            <w:tcW w:w="0" w:type="auto"/>
            <w:vAlign w:val="center"/>
            <w:hideMark/>
          </w:tcPr>
          <w:p w14:paraId="39998EA0" w14:textId="77777777" w:rsidR="00991BC3" w:rsidRPr="00991BC3" w:rsidRDefault="00991BC3" w:rsidP="00991BC3">
            <w:r w:rsidRPr="00991BC3">
              <w:t>Total complaints received</w:t>
            </w:r>
          </w:p>
        </w:tc>
        <w:tc>
          <w:tcPr>
            <w:tcW w:w="0" w:type="auto"/>
            <w:vAlign w:val="center"/>
            <w:hideMark/>
          </w:tcPr>
          <w:p w14:paraId="53015D3A" w14:textId="577331C0" w:rsidR="00991BC3" w:rsidRPr="00991BC3" w:rsidRDefault="00237EFD" w:rsidP="00991BC3">
            <w:r>
              <w:t xml:space="preserve">                0</w:t>
            </w:r>
          </w:p>
        </w:tc>
      </w:tr>
      <w:tr w:rsidR="00991BC3" w:rsidRPr="00991BC3" w14:paraId="71B20D7D" w14:textId="77777777" w:rsidTr="00991BC3">
        <w:trPr>
          <w:tblCellSpacing w:w="15" w:type="dxa"/>
        </w:trPr>
        <w:tc>
          <w:tcPr>
            <w:tcW w:w="0" w:type="auto"/>
            <w:vAlign w:val="center"/>
            <w:hideMark/>
          </w:tcPr>
          <w:p w14:paraId="34B2C965" w14:textId="77777777" w:rsidR="00991BC3" w:rsidRPr="00991BC3" w:rsidRDefault="00991BC3" w:rsidP="00991BC3">
            <w:r w:rsidRPr="00991BC3">
              <w:t>Complaints upheld at Stage 1</w:t>
            </w:r>
          </w:p>
        </w:tc>
        <w:tc>
          <w:tcPr>
            <w:tcW w:w="0" w:type="auto"/>
            <w:vAlign w:val="center"/>
            <w:hideMark/>
          </w:tcPr>
          <w:p w14:paraId="49E50307" w14:textId="2606225C" w:rsidR="00991BC3" w:rsidRPr="00991BC3" w:rsidRDefault="00237EFD" w:rsidP="00991BC3">
            <w:r>
              <w:t xml:space="preserve">                0</w:t>
            </w:r>
          </w:p>
        </w:tc>
      </w:tr>
      <w:tr w:rsidR="00991BC3" w:rsidRPr="00991BC3" w14:paraId="517BF9FB" w14:textId="77777777" w:rsidTr="00991BC3">
        <w:trPr>
          <w:tblCellSpacing w:w="15" w:type="dxa"/>
        </w:trPr>
        <w:tc>
          <w:tcPr>
            <w:tcW w:w="0" w:type="auto"/>
            <w:vAlign w:val="center"/>
            <w:hideMark/>
          </w:tcPr>
          <w:p w14:paraId="56BC6E78" w14:textId="77777777" w:rsidR="00991BC3" w:rsidRPr="00991BC3" w:rsidRDefault="00991BC3" w:rsidP="00991BC3">
            <w:r w:rsidRPr="00991BC3">
              <w:t>Complaints not upheld at Stage 1</w:t>
            </w:r>
          </w:p>
        </w:tc>
        <w:tc>
          <w:tcPr>
            <w:tcW w:w="0" w:type="auto"/>
            <w:vAlign w:val="center"/>
            <w:hideMark/>
          </w:tcPr>
          <w:p w14:paraId="15E6C764" w14:textId="0792B37A" w:rsidR="00991BC3" w:rsidRPr="00991BC3" w:rsidRDefault="00237EFD" w:rsidP="00991BC3">
            <w:r>
              <w:t xml:space="preserve">                0</w:t>
            </w:r>
          </w:p>
        </w:tc>
      </w:tr>
      <w:tr w:rsidR="00991BC3" w:rsidRPr="00991BC3" w14:paraId="050C9F66" w14:textId="77777777" w:rsidTr="00991BC3">
        <w:trPr>
          <w:tblCellSpacing w:w="15" w:type="dxa"/>
        </w:trPr>
        <w:tc>
          <w:tcPr>
            <w:tcW w:w="0" w:type="auto"/>
            <w:vAlign w:val="center"/>
            <w:hideMark/>
          </w:tcPr>
          <w:p w14:paraId="1C31E3EF" w14:textId="77777777" w:rsidR="00991BC3" w:rsidRPr="00991BC3" w:rsidRDefault="00991BC3" w:rsidP="00991BC3">
            <w:r w:rsidRPr="00991BC3">
              <w:t>Complaints escalated to Stage 2</w:t>
            </w:r>
          </w:p>
        </w:tc>
        <w:tc>
          <w:tcPr>
            <w:tcW w:w="0" w:type="auto"/>
            <w:vAlign w:val="center"/>
            <w:hideMark/>
          </w:tcPr>
          <w:p w14:paraId="410201D2" w14:textId="6906CFA2" w:rsidR="00991BC3" w:rsidRPr="00991BC3" w:rsidRDefault="00237EFD" w:rsidP="00991BC3">
            <w:r>
              <w:t xml:space="preserve">                0</w:t>
            </w:r>
          </w:p>
        </w:tc>
      </w:tr>
      <w:tr w:rsidR="00991BC3" w:rsidRPr="00991BC3" w14:paraId="07D7A4AB" w14:textId="77777777" w:rsidTr="00991BC3">
        <w:trPr>
          <w:tblCellSpacing w:w="15" w:type="dxa"/>
        </w:trPr>
        <w:tc>
          <w:tcPr>
            <w:tcW w:w="0" w:type="auto"/>
            <w:vAlign w:val="center"/>
            <w:hideMark/>
          </w:tcPr>
          <w:p w14:paraId="504BB1D1" w14:textId="77777777" w:rsidR="00991BC3" w:rsidRPr="00991BC3" w:rsidRDefault="00991BC3" w:rsidP="00991BC3">
            <w:r w:rsidRPr="00991BC3">
              <w:t>Complaints upheld at Stage 2</w:t>
            </w:r>
          </w:p>
        </w:tc>
        <w:tc>
          <w:tcPr>
            <w:tcW w:w="0" w:type="auto"/>
            <w:vAlign w:val="center"/>
            <w:hideMark/>
          </w:tcPr>
          <w:p w14:paraId="02F18DC0" w14:textId="3758FB95" w:rsidR="00991BC3" w:rsidRPr="00991BC3" w:rsidRDefault="00237EFD" w:rsidP="00991BC3">
            <w:r>
              <w:t xml:space="preserve">                0</w:t>
            </w:r>
          </w:p>
        </w:tc>
      </w:tr>
      <w:tr w:rsidR="00991BC3" w:rsidRPr="00991BC3" w14:paraId="4CEC6E64" w14:textId="77777777" w:rsidTr="00991BC3">
        <w:trPr>
          <w:tblCellSpacing w:w="15" w:type="dxa"/>
        </w:trPr>
        <w:tc>
          <w:tcPr>
            <w:tcW w:w="0" w:type="auto"/>
            <w:vAlign w:val="center"/>
            <w:hideMark/>
          </w:tcPr>
          <w:p w14:paraId="76D4E426" w14:textId="1C0848A8" w:rsidR="00991BC3" w:rsidRPr="00991BC3" w:rsidRDefault="00991BC3" w:rsidP="00991BC3">
            <w:r w:rsidRPr="00991BC3">
              <w:t>Complaints referred to Housing Ombudsman</w:t>
            </w:r>
          </w:p>
        </w:tc>
        <w:tc>
          <w:tcPr>
            <w:tcW w:w="0" w:type="auto"/>
            <w:vAlign w:val="center"/>
            <w:hideMark/>
          </w:tcPr>
          <w:p w14:paraId="60418732" w14:textId="7DAAA361" w:rsidR="00991BC3" w:rsidRPr="00991BC3" w:rsidRDefault="00237EFD" w:rsidP="00991BC3">
            <w:r>
              <w:t xml:space="preserve">                0</w:t>
            </w:r>
          </w:p>
        </w:tc>
      </w:tr>
      <w:tr w:rsidR="00991BC3" w:rsidRPr="00991BC3" w14:paraId="1F469171" w14:textId="77777777" w:rsidTr="00991BC3">
        <w:trPr>
          <w:tblCellSpacing w:w="15" w:type="dxa"/>
        </w:trPr>
        <w:tc>
          <w:tcPr>
            <w:tcW w:w="0" w:type="auto"/>
            <w:vAlign w:val="center"/>
            <w:hideMark/>
          </w:tcPr>
          <w:p w14:paraId="2553DB61" w14:textId="77777777" w:rsidR="00991BC3" w:rsidRPr="00991BC3" w:rsidRDefault="00991BC3" w:rsidP="00991BC3">
            <w:r w:rsidRPr="00991BC3">
              <w:t>Determinations upheld by Housing Ombudsman</w:t>
            </w:r>
          </w:p>
        </w:tc>
        <w:tc>
          <w:tcPr>
            <w:tcW w:w="0" w:type="auto"/>
            <w:vAlign w:val="center"/>
            <w:hideMark/>
          </w:tcPr>
          <w:p w14:paraId="1D13E50B" w14:textId="7026F5D4" w:rsidR="00991BC3" w:rsidRPr="00991BC3" w:rsidRDefault="00237EFD" w:rsidP="00991BC3">
            <w:r>
              <w:t xml:space="preserve">                0</w:t>
            </w:r>
          </w:p>
        </w:tc>
      </w:tr>
      <w:tr w:rsidR="00991BC3" w:rsidRPr="00991BC3" w14:paraId="0F309AF9" w14:textId="77777777" w:rsidTr="00991BC3">
        <w:trPr>
          <w:tblCellSpacing w:w="15" w:type="dxa"/>
        </w:trPr>
        <w:tc>
          <w:tcPr>
            <w:tcW w:w="0" w:type="auto"/>
            <w:vAlign w:val="center"/>
            <w:hideMark/>
          </w:tcPr>
          <w:p w14:paraId="71466999" w14:textId="77777777" w:rsidR="00991BC3" w:rsidRPr="00991BC3" w:rsidRDefault="00991BC3" w:rsidP="00991BC3">
            <w:r w:rsidRPr="00991BC3">
              <w:t>Determinations not upheld</w:t>
            </w:r>
          </w:p>
        </w:tc>
        <w:tc>
          <w:tcPr>
            <w:tcW w:w="0" w:type="auto"/>
            <w:vAlign w:val="center"/>
            <w:hideMark/>
          </w:tcPr>
          <w:p w14:paraId="354E12B6" w14:textId="44B5A1C6" w:rsidR="00991BC3" w:rsidRPr="00991BC3" w:rsidRDefault="00237EFD" w:rsidP="00991BC3">
            <w:r>
              <w:t xml:space="preserve">                0</w:t>
            </w:r>
          </w:p>
        </w:tc>
      </w:tr>
    </w:tbl>
    <w:p w14:paraId="56B6078A" w14:textId="77777777" w:rsidR="00991BC3" w:rsidRPr="00991BC3" w:rsidRDefault="00000000" w:rsidP="00991BC3">
      <w:r>
        <w:pict w14:anchorId="3A05ADBD">
          <v:rect id="_x0000_i1029" style="width:0;height:1.5pt" o:hralign="center" o:hrstd="t" o:hr="t" fillcolor="#a0a0a0" stroked="f"/>
        </w:pict>
      </w:r>
    </w:p>
    <w:p w14:paraId="204C251B" w14:textId="77777777" w:rsidR="00991BC3" w:rsidRPr="00991BC3" w:rsidRDefault="00991BC3" w:rsidP="00991BC3">
      <w:pPr>
        <w:rPr>
          <w:b/>
          <w:bCs/>
        </w:rPr>
      </w:pPr>
      <w:r w:rsidRPr="00991BC3">
        <w:rPr>
          <w:b/>
          <w:bCs/>
        </w:rPr>
        <w:t>5. Complaint Categories and Themes</w:t>
      </w:r>
    </w:p>
    <w:p w14:paraId="24384CD6" w14:textId="77777777" w:rsidR="00991BC3" w:rsidRPr="00991BC3" w:rsidRDefault="00991BC3" w:rsidP="00991BC3">
      <w:r w:rsidRPr="00991BC3">
        <w:t>Breakdown of complaints by issue type:</w:t>
      </w:r>
    </w:p>
    <w:p w14:paraId="1EE860EC" w14:textId="59BBD8BD" w:rsidR="00991BC3" w:rsidRPr="00991BC3" w:rsidRDefault="00991BC3" w:rsidP="00991BC3">
      <w:pPr>
        <w:numPr>
          <w:ilvl w:val="0"/>
          <w:numId w:val="4"/>
        </w:numPr>
      </w:pPr>
      <w:r w:rsidRPr="00991BC3">
        <w:t>Repairs and maintenance</w:t>
      </w:r>
      <w:r w:rsidR="00CD2278">
        <w:tab/>
      </w:r>
      <w:r w:rsidR="00CD2278">
        <w:tab/>
      </w:r>
      <w:r w:rsidR="00CD2278">
        <w:tab/>
        <w:t>None received</w:t>
      </w:r>
      <w:r w:rsidR="00CD2278">
        <w:tab/>
      </w:r>
      <w:r w:rsidR="00CD2278">
        <w:tab/>
      </w:r>
      <w:r w:rsidR="00CD2278">
        <w:tab/>
      </w:r>
    </w:p>
    <w:p w14:paraId="53DAF388" w14:textId="3E37DC9D" w:rsidR="00991BC3" w:rsidRPr="00991BC3" w:rsidRDefault="00991BC3" w:rsidP="00991BC3">
      <w:pPr>
        <w:numPr>
          <w:ilvl w:val="0"/>
          <w:numId w:val="4"/>
        </w:numPr>
      </w:pPr>
      <w:r w:rsidRPr="00991BC3">
        <w:t>Anti-social behaviour</w:t>
      </w:r>
      <w:r w:rsidR="00CD2278">
        <w:tab/>
      </w:r>
      <w:r w:rsidR="00CD2278">
        <w:tab/>
      </w:r>
      <w:r w:rsidR="00CD2278">
        <w:tab/>
        <w:t>None received</w:t>
      </w:r>
      <w:r w:rsidR="00CD2278">
        <w:tab/>
      </w:r>
      <w:r w:rsidR="00CD2278">
        <w:tab/>
      </w:r>
    </w:p>
    <w:p w14:paraId="11BD9248" w14:textId="7C5B57A6" w:rsidR="00991BC3" w:rsidRPr="00991BC3" w:rsidRDefault="00991BC3" w:rsidP="00991BC3">
      <w:pPr>
        <w:numPr>
          <w:ilvl w:val="0"/>
          <w:numId w:val="4"/>
        </w:numPr>
      </w:pPr>
      <w:r w:rsidRPr="00991BC3">
        <w:t>Estate management</w:t>
      </w:r>
      <w:r w:rsidR="00CD2278">
        <w:tab/>
      </w:r>
      <w:r w:rsidR="00CD2278">
        <w:tab/>
      </w:r>
      <w:r w:rsidR="00CD2278">
        <w:tab/>
      </w:r>
      <w:r w:rsidR="00CD2278">
        <w:tab/>
        <w:t>None received</w:t>
      </w:r>
    </w:p>
    <w:p w14:paraId="30A1A0E2" w14:textId="6D2B85D6" w:rsidR="00991BC3" w:rsidRPr="00991BC3" w:rsidRDefault="00991BC3" w:rsidP="00991BC3">
      <w:pPr>
        <w:numPr>
          <w:ilvl w:val="0"/>
          <w:numId w:val="4"/>
        </w:numPr>
      </w:pPr>
      <w:r w:rsidRPr="00991BC3">
        <w:t>Rent and service charges</w:t>
      </w:r>
      <w:r w:rsidR="00CD2278">
        <w:tab/>
      </w:r>
      <w:r w:rsidR="00CD2278">
        <w:tab/>
      </w:r>
      <w:r w:rsidR="00CD2278">
        <w:tab/>
        <w:t>None received</w:t>
      </w:r>
    </w:p>
    <w:p w14:paraId="43A5D7F1" w14:textId="4ED00E76" w:rsidR="00991BC3" w:rsidRPr="00991BC3" w:rsidRDefault="00991BC3" w:rsidP="00991BC3">
      <w:pPr>
        <w:numPr>
          <w:ilvl w:val="0"/>
          <w:numId w:val="4"/>
        </w:numPr>
      </w:pPr>
      <w:r w:rsidRPr="00991BC3">
        <w:t>Communication and customer service</w:t>
      </w:r>
      <w:r w:rsidR="00CD2278">
        <w:tab/>
        <w:t>None received</w:t>
      </w:r>
    </w:p>
    <w:p w14:paraId="4C5A0A39" w14:textId="5AC95D74" w:rsidR="00991BC3" w:rsidRPr="00991BC3" w:rsidRDefault="00991BC3" w:rsidP="00991BC3">
      <w:pPr>
        <w:numPr>
          <w:ilvl w:val="0"/>
          <w:numId w:val="4"/>
        </w:numPr>
      </w:pPr>
      <w:r w:rsidRPr="00991BC3">
        <w:t>Other (please specify)</w:t>
      </w:r>
      <w:r w:rsidR="00CD2278">
        <w:tab/>
      </w:r>
      <w:r w:rsidR="00CD2278">
        <w:tab/>
      </w:r>
      <w:r w:rsidR="00CD2278">
        <w:tab/>
        <w:t>None received</w:t>
      </w:r>
      <w:r w:rsidR="00CD2278">
        <w:tab/>
      </w:r>
    </w:p>
    <w:p w14:paraId="35470619" w14:textId="77777777" w:rsidR="00991BC3" w:rsidRPr="00991BC3" w:rsidRDefault="00991BC3" w:rsidP="00991BC3">
      <w:r w:rsidRPr="00991BC3">
        <w:lastRenderedPageBreak/>
        <w:t>Include:</w:t>
      </w:r>
    </w:p>
    <w:p w14:paraId="00C1BB50" w14:textId="77777777" w:rsidR="00991BC3" w:rsidRPr="00991BC3" w:rsidRDefault="00991BC3" w:rsidP="00991BC3">
      <w:pPr>
        <w:numPr>
          <w:ilvl w:val="0"/>
          <w:numId w:val="5"/>
        </w:numPr>
      </w:pPr>
      <w:r w:rsidRPr="00991BC3">
        <w:t>Volume per category</w:t>
      </w:r>
    </w:p>
    <w:p w14:paraId="233B9174" w14:textId="77777777" w:rsidR="00991BC3" w:rsidRPr="00991BC3" w:rsidRDefault="00991BC3" w:rsidP="00991BC3">
      <w:pPr>
        <w:numPr>
          <w:ilvl w:val="0"/>
          <w:numId w:val="5"/>
        </w:numPr>
      </w:pPr>
      <w:r w:rsidRPr="00991BC3">
        <w:t>Trends and any spikes in specific themes</w:t>
      </w:r>
    </w:p>
    <w:p w14:paraId="3F47DB1F" w14:textId="77777777" w:rsidR="00991BC3" w:rsidRPr="00991BC3" w:rsidRDefault="00991BC3" w:rsidP="00991BC3">
      <w:pPr>
        <w:numPr>
          <w:ilvl w:val="0"/>
          <w:numId w:val="5"/>
        </w:numPr>
      </w:pPr>
      <w:r w:rsidRPr="00991BC3">
        <w:t>Underlying causes (if known)</w:t>
      </w:r>
    </w:p>
    <w:p w14:paraId="42ADFA48" w14:textId="77777777" w:rsidR="00991BC3" w:rsidRPr="00991BC3" w:rsidRDefault="00000000" w:rsidP="00991BC3">
      <w:r>
        <w:pict w14:anchorId="06E7056E">
          <v:rect id="_x0000_i1030" style="width:0;height:1.5pt" o:hralign="center" o:hrstd="t" o:hr="t" fillcolor="#a0a0a0" stroked="f"/>
        </w:pict>
      </w:r>
    </w:p>
    <w:p w14:paraId="27677F5D" w14:textId="77777777" w:rsidR="00991BC3" w:rsidRPr="00991BC3" w:rsidRDefault="00991BC3" w:rsidP="00991BC3">
      <w:pPr>
        <w:rPr>
          <w:b/>
          <w:bCs/>
        </w:rPr>
      </w:pPr>
      <w:r w:rsidRPr="00991BC3">
        <w:rPr>
          <w:b/>
          <w:bCs/>
        </w:rPr>
        <w:t>6. Timeliness of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
        <w:gridCol w:w="2431"/>
        <w:gridCol w:w="2185"/>
        <w:gridCol w:w="1450"/>
      </w:tblGrid>
      <w:tr w:rsidR="00991BC3" w:rsidRPr="00991BC3" w14:paraId="1F0C2163" w14:textId="77777777" w:rsidTr="00991BC3">
        <w:trPr>
          <w:tblHeader/>
          <w:tblCellSpacing w:w="15" w:type="dxa"/>
        </w:trPr>
        <w:tc>
          <w:tcPr>
            <w:tcW w:w="0" w:type="auto"/>
            <w:vAlign w:val="center"/>
            <w:hideMark/>
          </w:tcPr>
          <w:p w14:paraId="488DD925" w14:textId="77777777" w:rsidR="00991BC3" w:rsidRPr="00991BC3" w:rsidRDefault="00991BC3" w:rsidP="00991BC3">
            <w:pPr>
              <w:rPr>
                <w:b/>
                <w:bCs/>
              </w:rPr>
            </w:pPr>
            <w:r w:rsidRPr="00991BC3">
              <w:rPr>
                <w:b/>
                <w:bCs/>
              </w:rPr>
              <w:t>Stage</w:t>
            </w:r>
          </w:p>
        </w:tc>
        <w:tc>
          <w:tcPr>
            <w:tcW w:w="0" w:type="auto"/>
            <w:vAlign w:val="center"/>
            <w:hideMark/>
          </w:tcPr>
          <w:p w14:paraId="04D0296D" w14:textId="77777777" w:rsidR="00991BC3" w:rsidRPr="00991BC3" w:rsidRDefault="00991BC3" w:rsidP="00991BC3">
            <w:pPr>
              <w:rPr>
                <w:b/>
                <w:bCs/>
              </w:rPr>
            </w:pPr>
            <w:r w:rsidRPr="00991BC3">
              <w:rPr>
                <w:b/>
                <w:bCs/>
              </w:rPr>
              <w:t>Target Response Time</w:t>
            </w:r>
          </w:p>
        </w:tc>
        <w:tc>
          <w:tcPr>
            <w:tcW w:w="0" w:type="auto"/>
            <w:vAlign w:val="center"/>
            <w:hideMark/>
          </w:tcPr>
          <w:p w14:paraId="40D1EAED" w14:textId="77777777" w:rsidR="00991BC3" w:rsidRPr="00991BC3" w:rsidRDefault="00991BC3" w:rsidP="00991BC3">
            <w:pPr>
              <w:rPr>
                <w:b/>
                <w:bCs/>
              </w:rPr>
            </w:pPr>
            <w:r w:rsidRPr="00991BC3">
              <w:rPr>
                <w:b/>
                <w:bCs/>
              </w:rPr>
              <w:t>Average Time Taken</w:t>
            </w:r>
          </w:p>
        </w:tc>
        <w:tc>
          <w:tcPr>
            <w:tcW w:w="0" w:type="auto"/>
            <w:vAlign w:val="center"/>
            <w:hideMark/>
          </w:tcPr>
          <w:p w14:paraId="502E6601" w14:textId="77777777" w:rsidR="00991BC3" w:rsidRPr="00991BC3" w:rsidRDefault="00991BC3" w:rsidP="00991BC3">
            <w:pPr>
              <w:rPr>
                <w:b/>
                <w:bCs/>
              </w:rPr>
            </w:pPr>
            <w:r w:rsidRPr="00991BC3">
              <w:rPr>
                <w:b/>
                <w:bCs/>
              </w:rPr>
              <w:t>% Met Target</w:t>
            </w:r>
          </w:p>
        </w:tc>
      </w:tr>
      <w:tr w:rsidR="00991BC3" w:rsidRPr="00991BC3" w14:paraId="378E3332" w14:textId="77777777" w:rsidTr="00991BC3">
        <w:trPr>
          <w:tblCellSpacing w:w="15" w:type="dxa"/>
        </w:trPr>
        <w:tc>
          <w:tcPr>
            <w:tcW w:w="0" w:type="auto"/>
            <w:vAlign w:val="center"/>
            <w:hideMark/>
          </w:tcPr>
          <w:p w14:paraId="2F699175" w14:textId="77777777" w:rsidR="00991BC3" w:rsidRPr="00991BC3" w:rsidRDefault="00991BC3" w:rsidP="00991BC3">
            <w:r w:rsidRPr="00991BC3">
              <w:t>Stage 1</w:t>
            </w:r>
          </w:p>
        </w:tc>
        <w:tc>
          <w:tcPr>
            <w:tcW w:w="0" w:type="auto"/>
            <w:vAlign w:val="center"/>
            <w:hideMark/>
          </w:tcPr>
          <w:p w14:paraId="7FFDFBB5" w14:textId="77777777" w:rsidR="00991BC3" w:rsidRPr="00991BC3" w:rsidRDefault="00991BC3" w:rsidP="00991BC3">
            <w:r w:rsidRPr="00991BC3">
              <w:t>10 working days</w:t>
            </w:r>
          </w:p>
        </w:tc>
        <w:tc>
          <w:tcPr>
            <w:tcW w:w="0" w:type="auto"/>
            <w:vAlign w:val="center"/>
            <w:hideMark/>
          </w:tcPr>
          <w:p w14:paraId="4DAE5686" w14:textId="77777777" w:rsidR="00991BC3" w:rsidRPr="00991BC3" w:rsidRDefault="00991BC3" w:rsidP="00991BC3">
            <w:r w:rsidRPr="00991BC3">
              <w:t>[Insert average]</w:t>
            </w:r>
          </w:p>
        </w:tc>
        <w:tc>
          <w:tcPr>
            <w:tcW w:w="0" w:type="auto"/>
            <w:vAlign w:val="center"/>
            <w:hideMark/>
          </w:tcPr>
          <w:p w14:paraId="343A319D" w14:textId="77777777" w:rsidR="00991BC3" w:rsidRPr="00991BC3" w:rsidRDefault="00991BC3" w:rsidP="00991BC3">
            <w:r w:rsidRPr="00991BC3">
              <w:t>[Insert %]</w:t>
            </w:r>
          </w:p>
        </w:tc>
      </w:tr>
      <w:tr w:rsidR="00991BC3" w:rsidRPr="00991BC3" w14:paraId="58497BBC" w14:textId="77777777" w:rsidTr="00991BC3">
        <w:trPr>
          <w:tblCellSpacing w:w="15" w:type="dxa"/>
        </w:trPr>
        <w:tc>
          <w:tcPr>
            <w:tcW w:w="0" w:type="auto"/>
            <w:vAlign w:val="center"/>
            <w:hideMark/>
          </w:tcPr>
          <w:p w14:paraId="654ED2DD" w14:textId="77777777" w:rsidR="00991BC3" w:rsidRPr="00991BC3" w:rsidRDefault="00991BC3" w:rsidP="00991BC3">
            <w:r w:rsidRPr="00991BC3">
              <w:t>Stage 2</w:t>
            </w:r>
          </w:p>
        </w:tc>
        <w:tc>
          <w:tcPr>
            <w:tcW w:w="0" w:type="auto"/>
            <w:vAlign w:val="center"/>
            <w:hideMark/>
          </w:tcPr>
          <w:p w14:paraId="1BFC4FFD" w14:textId="77777777" w:rsidR="00991BC3" w:rsidRPr="00991BC3" w:rsidRDefault="00991BC3" w:rsidP="00991BC3">
            <w:r w:rsidRPr="00991BC3">
              <w:t>20 working days</w:t>
            </w:r>
          </w:p>
        </w:tc>
        <w:tc>
          <w:tcPr>
            <w:tcW w:w="0" w:type="auto"/>
            <w:vAlign w:val="center"/>
            <w:hideMark/>
          </w:tcPr>
          <w:p w14:paraId="39955F5F" w14:textId="77777777" w:rsidR="00991BC3" w:rsidRPr="00991BC3" w:rsidRDefault="00991BC3" w:rsidP="00991BC3">
            <w:r w:rsidRPr="00991BC3">
              <w:t>[Insert average]</w:t>
            </w:r>
          </w:p>
        </w:tc>
        <w:tc>
          <w:tcPr>
            <w:tcW w:w="0" w:type="auto"/>
            <w:vAlign w:val="center"/>
            <w:hideMark/>
          </w:tcPr>
          <w:p w14:paraId="32789DC6" w14:textId="77777777" w:rsidR="00991BC3" w:rsidRPr="00991BC3" w:rsidRDefault="00991BC3" w:rsidP="00991BC3">
            <w:r w:rsidRPr="00991BC3">
              <w:t>[Insert %]</w:t>
            </w:r>
          </w:p>
        </w:tc>
      </w:tr>
    </w:tbl>
    <w:p w14:paraId="161CCE17" w14:textId="77777777" w:rsidR="00991BC3" w:rsidRPr="00991BC3" w:rsidRDefault="00991BC3" w:rsidP="00991BC3">
      <w:r w:rsidRPr="00991BC3">
        <w:t>Narrative:</w:t>
      </w:r>
    </w:p>
    <w:p w14:paraId="6A1B0652" w14:textId="77777777" w:rsidR="00991BC3" w:rsidRPr="00991BC3" w:rsidRDefault="00991BC3" w:rsidP="00991BC3">
      <w:pPr>
        <w:numPr>
          <w:ilvl w:val="0"/>
          <w:numId w:val="6"/>
        </w:numPr>
      </w:pPr>
      <w:r w:rsidRPr="00991BC3">
        <w:t>Reasons for delays (if applicable)</w:t>
      </w:r>
    </w:p>
    <w:p w14:paraId="29CE59F2" w14:textId="77777777" w:rsidR="00991BC3" w:rsidRPr="00991BC3" w:rsidRDefault="00991BC3" w:rsidP="00991BC3">
      <w:pPr>
        <w:numPr>
          <w:ilvl w:val="0"/>
          <w:numId w:val="6"/>
        </w:numPr>
      </w:pPr>
      <w:r w:rsidRPr="00991BC3">
        <w:t>Actions taken to improve timeliness</w:t>
      </w:r>
    </w:p>
    <w:p w14:paraId="6C5D70CD" w14:textId="77777777" w:rsidR="00991BC3" w:rsidRPr="00991BC3" w:rsidRDefault="00000000" w:rsidP="00991BC3">
      <w:r>
        <w:pict w14:anchorId="67C7F14D">
          <v:rect id="_x0000_i1031" style="width:0;height:1.5pt" o:hralign="center" o:hrstd="t" o:hr="t" fillcolor="#a0a0a0" stroked="f"/>
        </w:pict>
      </w:r>
    </w:p>
    <w:p w14:paraId="57BD6B25" w14:textId="77777777" w:rsidR="00991BC3" w:rsidRPr="00991BC3" w:rsidRDefault="00991BC3" w:rsidP="00991BC3">
      <w:pPr>
        <w:rPr>
          <w:b/>
          <w:bCs/>
        </w:rPr>
      </w:pPr>
      <w:r w:rsidRPr="00991BC3">
        <w:rPr>
          <w:b/>
          <w:bCs/>
        </w:rPr>
        <w:t>7. Learning from Complaints</w:t>
      </w:r>
    </w:p>
    <w:p w14:paraId="18C46241" w14:textId="77777777" w:rsidR="00991BC3" w:rsidRPr="00991BC3" w:rsidRDefault="00991BC3" w:rsidP="00991BC3">
      <w:pPr>
        <w:numPr>
          <w:ilvl w:val="0"/>
          <w:numId w:val="7"/>
        </w:numPr>
      </w:pPr>
      <w:r w:rsidRPr="00991BC3">
        <w:t>Examples of service improvements resulting from complaints</w:t>
      </w:r>
    </w:p>
    <w:p w14:paraId="40FA1C19" w14:textId="77777777" w:rsidR="00991BC3" w:rsidRPr="00991BC3" w:rsidRDefault="00991BC3" w:rsidP="00991BC3">
      <w:pPr>
        <w:numPr>
          <w:ilvl w:val="0"/>
          <w:numId w:val="7"/>
        </w:numPr>
      </w:pPr>
      <w:r w:rsidRPr="00991BC3">
        <w:t>Changes to policies, procedures, or staff training</w:t>
      </w:r>
    </w:p>
    <w:p w14:paraId="5614C5AB" w14:textId="77777777" w:rsidR="00991BC3" w:rsidRPr="00991BC3" w:rsidRDefault="00991BC3" w:rsidP="00991BC3">
      <w:pPr>
        <w:numPr>
          <w:ilvl w:val="0"/>
          <w:numId w:val="7"/>
        </w:numPr>
      </w:pPr>
      <w:r w:rsidRPr="00991BC3">
        <w:t>How learning is communicated to tenants and staff</w:t>
      </w:r>
    </w:p>
    <w:p w14:paraId="75F0221C" w14:textId="77777777" w:rsidR="00991BC3" w:rsidRPr="00991BC3" w:rsidRDefault="00991BC3" w:rsidP="00991BC3">
      <w:pPr>
        <w:numPr>
          <w:ilvl w:val="0"/>
          <w:numId w:val="7"/>
        </w:numPr>
      </w:pPr>
      <w:r w:rsidRPr="00991BC3">
        <w:t>Role of the Board in reviewing and acting on complaints data</w:t>
      </w:r>
    </w:p>
    <w:p w14:paraId="18598915" w14:textId="77777777" w:rsidR="00991BC3" w:rsidRPr="00991BC3" w:rsidRDefault="00000000" w:rsidP="00991BC3">
      <w:r>
        <w:pict w14:anchorId="7C80F47B">
          <v:rect id="_x0000_i1032" style="width:0;height:1.5pt" o:hralign="center" o:hrstd="t" o:hr="t" fillcolor="#a0a0a0" stroked="f"/>
        </w:pict>
      </w:r>
    </w:p>
    <w:p w14:paraId="3DEC9650" w14:textId="77777777" w:rsidR="00991BC3" w:rsidRPr="00991BC3" w:rsidRDefault="00991BC3" w:rsidP="00991BC3">
      <w:pPr>
        <w:rPr>
          <w:b/>
          <w:bCs/>
        </w:rPr>
      </w:pPr>
      <w:r w:rsidRPr="00991BC3">
        <w:rPr>
          <w:b/>
          <w:bCs/>
        </w:rPr>
        <w:t>8. Tenant Engagement and Accessibility</w:t>
      </w:r>
    </w:p>
    <w:p w14:paraId="384F50EE" w14:textId="77777777" w:rsidR="00991BC3" w:rsidRPr="00991BC3" w:rsidRDefault="00991BC3" w:rsidP="00991BC3">
      <w:pPr>
        <w:numPr>
          <w:ilvl w:val="0"/>
          <w:numId w:val="8"/>
        </w:numPr>
      </w:pPr>
      <w:r w:rsidRPr="00991BC3">
        <w:t>How tenants are informed about how to complain</w:t>
      </w:r>
    </w:p>
    <w:p w14:paraId="55E09A71" w14:textId="77777777" w:rsidR="00991BC3" w:rsidRPr="00991BC3" w:rsidRDefault="00991BC3" w:rsidP="00991BC3">
      <w:pPr>
        <w:numPr>
          <w:ilvl w:val="0"/>
          <w:numId w:val="8"/>
        </w:numPr>
      </w:pPr>
      <w:r w:rsidRPr="00991BC3">
        <w:t>Support offered for vulnerable residents</w:t>
      </w:r>
    </w:p>
    <w:p w14:paraId="2491D50B" w14:textId="77777777" w:rsidR="00991BC3" w:rsidRPr="00991BC3" w:rsidRDefault="00991BC3" w:rsidP="00991BC3">
      <w:pPr>
        <w:numPr>
          <w:ilvl w:val="0"/>
          <w:numId w:val="8"/>
        </w:numPr>
      </w:pPr>
      <w:r w:rsidRPr="00991BC3">
        <w:t>Reasonable adjustments made to support complainants</w:t>
      </w:r>
    </w:p>
    <w:p w14:paraId="09A6C15E" w14:textId="77777777" w:rsidR="00991BC3" w:rsidRPr="00991BC3" w:rsidRDefault="00991BC3" w:rsidP="00991BC3">
      <w:pPr>
        <w:numPr>
          <w:ilvl w:val="0"/>
          <w:numId w:val="8"/>
        </w:numPr>
      </w:pPr>
      <w:r w:rsidRPr="00991BC3">
        <w:t>Feedback received from residents about the complaints process</w:t>
      </w:r>
    </w:p>
    <w:p w14:paraId="5D54F9BB" w14:textId="77777777" w:rsidR="00991BC3" w:rsidRPr="00991BC3" w:rsidRDefault="00000000" w:rsidP="00991BC3">
      <w:r>
        <w:pict w14:anchorId="7A3006E5">
          <v:rect id="_x0000_i1033" style="width:0;height:1.5pt" o:hralign="center" o:hrstd="t" o:hr="t" fillcolor="#a0a0a0" stroked="f"/>
        </w:pict>
      </w:r>
    </w:p>
    <w:p w14:paraId="1FFD58D2" w14:textId="77777777" w:rsidR="00991BC3" w:rsidRPr="00991BC3" w:rsidRDefault="00991BC3" w:rsidP="00991BC3">
      <w:pPr>
        <w:rPr>
          <w:b/>
          <w:bCs/>
        </w:rPr>
      </w:pPr>
      <w:r w:rsidRPr="00991BC3">
        <w:rPr>
          <w:b/>
          <w:bCs/>
        </w:rPr>
        <w:t>9. Monitoring and Oversight</w:t>
      </w:r>
    </w:p>
    <w:p w14:paraId="55453A9E" w14:textId="77777777" w:rsidR="00991BC3" w:rsidRPr="00991BC3" w:rsidRDefault="00991BC3" w:rsidP="00991BC3">
      <w:pPr>
        <w:numPr>
          <w:ilvl w:val="0"/>
          <w:numId w:val="9"/>
        </w:numPr>
      </w:pPr>
      <w:r w:rsidRPr="00991BC3">
        <w:t>Role of the Member Responsible for Complaints</w:t>
      </w:r>
    </w:p>
    <w:p w14:paraId="5BE6A06E" w14:textId="77777777" w:rsidR="00991BC3" w:rsidRPr="00991BC3" w:rsidRDefault="00991BC3" w:rsidP="00991BC3">
      <w:pPr>
        <w:numPr>
          <w:ilvl w:val="0"/>
          <w:numId w:val="9"/>
        </w:numPr>
      </w:pPr>
      <w:r w:rsidRPr="00991BC3">
        <w:lastRenderedPageBreak/>
        <w:t>Frequency and content of reporting to the Board</w:t>
      </w:r>
    </w:p>
    <w:p w14:paraId="39A57E6B" w14:textId="77777777" w:rsidR="00991BC3" w:rsidRPr="00991BC3" w:rsidRDefault="00991BC3" w:rsidP="00991BC3">
      <w:pPr>
        <w:numPr>
          <w:ilvl w:val="0"/>
          <w:numId w:val="9"/>
        </w:numPr>
      </w:pPr>
      <w:r w:rsidRPr="00991BC3">
        <w:t>Oversight of complaint trends and actions</w:t>
      </w:r>
    </w:p>
    <w:p w14:paraId="1CEF9C46" w14:textId="77777777" w:rsidR="00991BC3" w:rsidRPr="00991BC3" w:rsidRDefault="00000000" w:rsidP="00991BC3">
      <w:r>
        <w:pict w14:anchorId="1F8574E8">
          <v:rect id="_x0000_i1034" style="width:0;height:1.5pt" o:hralign="center" o:hrstd="t" o:hr="t" fillcolor="#a0a0a0" stroked="f"/>
        </w:pict>
      </w:r>
    </w:p>
    <w:p w14:paraId="2F4AF542" w14:textId="77777777" w:rsidR="00991BC3" w:rsidRPr="00991BC3" w:rsidRDefault="00991BC3" w:rsidP="00991BC3">
      <w:pPr>
        <w:rPr>
          <w:b/>
          <w:bCs/>
        </w:rPr>
      </w:pPr>
      <w:r w:rsidRPr="00991BC3">
        <w:rPr>
          <w:b/>
          <w:bCs/>
        </w:rPr>
        <w:t>10. Planned Improvements for the Coming Year</w:t>
      </w:r>
    </w:p>
    <w:p w14:paraId="69AFB7EC" w14:textId="77777777" w:rsidR="00991BC3" w:rsidRPr="00991BC3" w:rsidRDefault="00991BC3" w:rsidP="00991BC3">
      <w:pPr>
        <w:numPr>
          <w:ilvl w:val="0"/>
          <w:numId w:val="10"/>
        </w:numPr>
      </w:pPr>
      <w:r w:rsidRPr="00991BC3">
        <w:t>Service or policy changes based on complaint trends</w:t>
      </w:r>
    </w:p>
    <w:p w14:paraId="152FB580" w14:textId="77777777" w:rsidR="00991BC3" w:rsidRPr="00991BC3" w:rsidRDefault="00991BC3" w:rsidP="00991BC3">
      <w:pPr>
        <w:numPr>
          <w:ilvl w:val="0"/>
          <w:numId w:val="10"/>
        </w:numPr>
      </w:pPr>
      <w:r w:rsidRPr="00991BC3">
        <w:t>Actions to improve response rates or customer satisfaction</w:t>
      </w:r>
    </w:p>
    <w:p w14:paraId="62529E07" w14:textId="77777777" w:rsidR="00991BC3" w:rsidRPr="00991BC3" w:rsidRDefault="00991BC3" w:rsidP="00991BC3">
      <w:pPr>
        <w:numPr>
          <w:ilvl w:val="0"/>
          <w:numId w:val="10"/>
        </w:numPr>
      </w:pPr>
      <w:r w:rsidRPr="00991BC3">
        <w:t>Planned engagement activities or surveys</w:t>
      </w:r>
    </w:p>
    <w:p w14:paraId="16856B08" w14:textId="77777777" w:rsidR="00991BC3" w:rsidRPr="00991BC3" w:rsidRDefault="00000000" w:rsidP="00991BC3">
      <w:r>
        <w:pict w14:anchorId="5DE2A98B">
          <v:rect id="_x0000_i1035" style="width:0;height:1.5pt" o:hralign="center" o:hrstd="t" o:hr="t" fillcolor="#a0a0a0" stroked="f"/>
        </w:pict>
      </w:r>
    </w:p>
    <w:p w14:paraId="1767C862" w14:textId="77777777" w:rsidR="00991BC3" w:rsidRPr="00991BC3" w:rsidRDefault="00991BC3" w:rsidP="00991BC3">
      <w:pPr>
        <w:rPr>
          <w:b/>
          <w:bCs/>
        </w:rPr>
      </w:pPr>
      <w:r w:rsidRPr="00991BC3">
        <w:rPr>
          <w:b/>
          <w:bCs/>
        </w:rPr>
        <w:t>11. Conclusion</w:t>
      </w:r>
    </w:p>
    <w:p w14:paraId="037F0D1B" w14:textId="77777777" w:rsidR="00991BC3" w:rsidRPr="00991BC3" w:rsidRDefault="00991BC3" w:rsidP="00991BC3">
      <w:pPr>
        <w:numPr>
          <w:ilvl w:val="0"/>
          <w:numId w:val="11"/>
        </w:numPr>
      </w:pPr>
      <w:r w:rsidRPr="00991BC3">
        <w:t>Summary of key insights</w:t>
      </w:r>
    </w:p>
    <w:p w14:paraId="3C266C72" w14:textId="77777777" w:rsidR="00991BC3" w:rsidRPr="00991BC3" w:rsidRDefault="00991BC3" w:rsidP="00991BC3">
      <w:pPr>
        <w:numPr>
          <w:ilvl w:val="0"/>
          <w:numId w:val="11"/>
        </w:numPr>
      </w:pPr>
      <w:r w:rsidRPr="00991BC3">
        <w:t>Organisational commitment to continued learning and improvement</w:t>
      </w:r>
    </w:p>
    <w:p w14:paraId="291B2EA0" w14:textId="77777777" w:rsidR="00991BC3" w:rsidRPr="00991BC3" w:rsidRDefault="00000000" w:rsidP="00991BC3">
      <w:r>
        <w:pict w14:anchorId="5B8F1B5A">
          <v:rect id="_x0000_i1036" style="width:0;height:1.5pt" o:hralign="center" o:hrstd="t" o:hr="t" fillcolor="#a0a0a0" stroked="f"/>
        </w:pict>
      </w:r>
    </w:p>
    <w:p w14:paraId="12D88878" w14:textId="77777777" w:rsidR="00991BC3" w:rsidRPr="00991BC3" w:rsidRDefault="00991BC3" w:rsidP="00991BC3">
      <w:pPr>
        <w:rPr>
          <w:b/>
          <w:bCs/>
        </w:rPr>
      </w:pPr>
      <w:r w:rsidRPr="00991BC3">
        <w:rPr>
          <w:b/>
          <w:bCs/>
        </w:rPr>
        <w:t>12. Appendix</w:t>
      </w:r>
    </w:p>
    <w:p w14:paraId="17F81CFE" w14:textId="77777777" w:rsidR="00991BC3" w:rsidRPr="00991BC3" w:rsidRDefault="00991BC3" w:rsidP="00991BC3">
      <w:pPr>
        <w:numPr>
          <w:ilvl w:val="0"/>
          <w:numId w:val="12"/>
        </w:numPr>
      </w:pPr>
      <w:r w:rsidRPr="00991BC3">
        <w:t>Self-assessment against the Housing Ombudsman’s Complaint Handling Code (optional)</w:t>
      </w:r>
    </w:p>
    <w:p w14:paraId="247CF4FF" w14:textId="77777777" w:rsidR="00991BC3" w:rsidRPr="00991BC3" w:rsidRDefault="00991BC3" w:rsidP="00991BC3">
      <w:pPr>
        <w:numPr>
          <w:ilvl w:val="0"/>
          <w:numId w:val="12"/>
        </w:numPr>
      </w:pPr>
      <w:r w:rsidRPr="00991BC3">
        <w:t>Summary of individual Housing Ombudsman determinations (optional)</w:t>
      </w:r>
    </w:p>
    <w:p w14:paraId="68CFA15E" w14:textId="77777777" w:rsidR="00991BC3" w:rsidRPr="00991BC3" w:rsidRDefault="00000000" w:rsidP="00991BC3">
      <w:r>
        <w:pict w14:anchorId="1C192E14">
          <v:rect id="_x0000_i1037" style="width:0;height:1.5pt" o:hralign="center" o:hrstd="t" o:hr="t" fillcolor="#a0a0a0" stroked="f"/>
        </w:pict>
      </w:r>
    </w:p>
    <w:p w14:paraId="006E7EF9" w14:textId="77777777" w:rsidR="00991BC3" w:rsidRPr="00991BC3" w:rsidRDefault="00991BC3" w:rsidP="00991BC3">
      <w:r w:rsidRPr="00991BC3">
        <w:t>Would you like this template exported into a Word document in Aptos 12 font for your use?</w:t>
      </w:r>
    </w:p>
    <w:p w14:paraId="34044E0F" w14:textId="77777777" w:rsidR="00937218" w:rsidRDefault="00937218"/>
    <w:sectPr w:rsidR="00937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752D"/>
    <w:multiLevelType w:val="multilevel"/>
    <w:tmpl w:val="216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D1039"/>
    <w:multiLevelType w:val="multilevel"/>
    <w:tmpl w:val="0A6C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C03E4"/>
    <w:multiLevelType w:val="multilevel"/>
    <w:tmpl w:val="E63C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870D0"/>
    <w:multiLevelType w:val="multilevel"/>
    <w:tmpl w:val="7598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606FC"/>
    <w:multiLevelType w:val="multilevel"/>
    <w:tmpl w:val="39CE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3417E"/>
    <w:multiLevelType w:val="multilevel"/>
    <w:tmpl w:val="84D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6517B"/>
    <w:multiLevelType w:val="multilevel"/>
    <w:tmpl w:val="3AC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14659"/>
    <w:multiLevelType w:val="multilevel"/>
    <w:tmpl w:val="1AC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53931"/>
    <w:multiLevelType w:val="multilevel"/>
    <w:tmpl w:val="9918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1B4FBF"/>
    <w:multiLevelType w:val="multilevel"/>
    <w:tmpl w:val="4CAA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F5E81"/>
    <w:multiLevelType w:val="multilevel"/>
    <w:tmpl w:val="6CAE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13806"/>
    <w:multiLevelType w:val="multilevel"/>
    <w:tmpl w:val="EECE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957785">
    <w:abstractNumId w:val="0"/>
  </w:num>
  <w:num w:numId="2" w16cid:durableId="1643345991">
    <w:abstractNumId w:val="6"/>
  </w:num>
  <w:num w:numId="3" w16cid:durableId="1676686058">
    <w:abstractNumId w:val="2"/>
  </w:num>
  <w:num w:numId="4" w16cid:durableId="506672893">
    <w:abstractNumId w:val="3"/>
  </w:num>
  <w:num w:numId="5" w16cid:durableId="835539696">
    <w:abstractNumId w:val="5"/>
  </w:num>
  <w:num w:numId="6" w16cid:durableId="576674266">
    <w:abstractNumId w:val="10"/>
  </w:num>
  <w:num w:numId="7" w16cid:durableId="260912774">
    <w:abstractNumId w:val="7"/>
  </w:num>
  <w:num w:numId="8" w16cid:durableId="49692223">
    <w:abstractNumId w:val="9"/>
  </w:num>
  <w:num w:numId="9" w16cid:durableId="2032148428">
    <w:abstractNumId w:val="4"/>
  </w:num>
  <w:num w:numId="10" w16cid:durableId="844170322">
    <w:abstractNumId w:val="11"/>
  </w:num>
  <w:num w:numId="11" w16cid:durableId="1976181895">
    <w:abstractNumId w:val="8"/>
  </w:num>
  <w:num w:numId="12" w16cid:durableId="17662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C3"/>
    <w:rsid w:val="00020CF6"/>
    <w:rsid w:val="00023596"/>
    <w:rsid w:val="001F69E3"/>
    <w:rsid w:val="00237EFD"/>
    <w:rsid w:val="002461C1"/>
    <w:rsid w:val="003C5D38"/>
    <w:rsid w:val="003E0660"/>
    <w:rsid w:val="00472ABD"/>
    <w:rsid w:val="00477E50"/>
    <w:rsid w:val="00524218"/>
    <w:rsid w:val="00536849"/>
    <w:rsid w:val="005B4079"/>
    <w:rsid w:val="00607D68"/>
    <w:rsid w:val="00662EEC"/>
    <w:rsid w:val="00684645"/>
    <w:rsid w:val="0069432C"/>
    <w:rsid w:val="006A4A8B"/>
    <w:rsid w:val="006C16B7"/>
    <w:rsid w:val="0072070C"/>
    <w:rsid w:val="00776006"/>
    <w:rsid w:val="0082169B"/>
    <w:rsid w:val="008B4381"/>
    <w:rsid w:val="008B6A46"/>
    <w:rsid w:val="00906DFA"/>
    <w:rsid w:val="00937218"/>
    <w:rsid w:val="00991BC3"/>
    <w:rsid w:val="00A70292"/>
    <w:rsid w:val="00BE25DD"/>
    <w:rsid w:val="00C246EE"/>
    <w:rsid w:val="00CD2278"/>
    <w:rsid w:val="00D57E9A"/>
    <w:rsid w:val="00DF14A8"/>
    <w:rsid w:val="00EA00B8"/>
    <w:rsid w:val="00F33D42"/>
    <w:rsid w:val="00F35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96F3"/>
  <w15:chartTrackingRefBased/>
  <w15:docId w15:val="{707DC4F2-2116-41CF-AA92-D8A95DE0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BC3"/>
    <w:rPr>
      <w:rFonts w:eastAsiaTheme="majorEastAsia" w:cstheme="majorBidi"/>
      <w:color w:val="272727" w:themeColor="text1" w:themeTint="D8"/>
    </w:rPr>
  </w:style>
  <w:style w:type="paragraph" w:styleId="Title">
    <w:name w:val="Title"/>
    <w:basedOn w:val="Normal"/>
    <w:next w:val="Normal"/>
    <w:link w:val="TitleChar"/>
    <w:uiPriority w:val="10"/>
    <w:qFormat/>
    <w:rsid w:val="00991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BC3"/>
    <w:pPr>
      <w:spacing w:before="160"/>
      <w:jc w:val="center"/>
    </w:pPr>
    <w:rPr>
      <w:i/>
      <w:iCs/>
      <w:color w:val="404040" w:themeColor="text1" w:themeTint="BF"/>
    </w:rPr>
  </w:style>
  <w:style w:type="character" w:customStyle="1" w:styleId="QuoteChar">
    <w:name w:val="Quote Char"/>
    <w:basedOn w:val="DefaultParagraphFont"/>
    <w:link w:val="Quote"/>
    <w:uiPriority w:val="29"/>
    <w:rsid w:val="00991BC3"/>
    <w:rPr>
      <w:i/>
      <w:iCs/>
      <w:color w:val="404040" w:themeColor="text1" w:themeTint="BF"/>
    </w:rPr>
  </w:style>
  <w:style w:type="paragraph" w:styleId="ListParagraph">
    <w:name w:val="List Paragraph"/>
    <w:basedOn w:val="Normal"/>
    <w:uiPriority w:val="34"/>
    <w:qFormat/>
    <w:rsid w:val="00991BC3"/>
    <w:pPr>
      <w:ind w:left="720"/>
      <w:contextualSpacing/>
    </w:pPr>
  </w:style>
  <w:style w:type="character" w:styleId="IntenseEmphasis">
    <w:name w:val="Intense Emphasis"/>
    <w:basedOn w:val="DefaultParagraphFont"/>
    <w:uiPriority w:val="21"/>
    <w:qFormat/>
    <w:rsid w:val="00991BC3"/>
    <w:rPr>
      <w:i/>
      <w:iCs/>
      <w:color w:val="0F4761" w:themeColor="accent1" w:themeShade="BF"/>
    </w:rPr>
  </w:style>
  <w:style w:type="paragraph" w:styleId="IntenseQuote">
    <w:name w:val="Intense Quote"/>
    <w:basedOn w:val="Normal"/>
    <w:next w:val="Normal"/>
    <w:link w:val="IntenseQuoteChar"/>
    <w:uiPriority w:val="30"/>
    <w:qFormat/>
    <w:rsid w:val="00991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BC3"/>
    <w:rPr>
      <w:i/>
      <w:iCs/>
      <w:color w:val="0F4761" w:themeColor="accent1" w:themeShade="BF"/>
    </w:rPr>
  </w:style>
  <w:style w:type="character" w:styleId="IntenseReference">
    <w:name w:val="Intense Reference"/>
    <w:basedOn w:val="DefaultParagraphFont"/>
    <w:uiPriority w:val="32"/>
    <w:qFormat/>
    <w:rsid w:val="00991BC3"/>
    <w:rPr>
      <w:b/>
      <w:bCs/>
      <w:smallCaps/>
      <w:color w:val="0F4761" w:themeColor="accent1" w:themeShade="BF"/>
      <w:spacing w:val="5"/>
    </w:rPr>
  </w:style>
  <w:style w:type="character" w:styleId="Hyperlink">
    <w:name w:val="Hyperlink"/>
    <w:basedOn w:val="DefaultParagraphFont"/>
    <w:uiPriority w:val="99"/>
    <w:unhideWhenUsed/>
    <w:rsid w:val="00662EEC"/>
    <w:rPr>
      <w:color w:val="467886" w:themeColor="hyperlink"/>
      <w:u w:val="single"/>
    </w:rPr>
  </w:style>
  <w:style w:type="character" w:styleId="UnresolvedMention">
    <w:name w:val="Unresolved Mention"/>
    <w:basedOn w:val="DefaultParagraphFont"/>
    <w:uiPriority w:val="99"/>
    <w:semiHidden/>
    <w:unhideWhenUsed/>
    <w:rsid w:val="00662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59575">
      <w:bodyDiv w:val="1"/>
      <w:marLeft w:val="0"/>
      <w:marRight w:val="0"/>
      <w:marTop w:val="0"/>
      <w:marBottom w:val="0"/>
      <w:divBdr>
        <w:top w:val="none" w:sz="0" w:space="0" w:color="auto"/>
        <w:left w:val="none" w:sz="0" w:space="0" w:color="auto"/>
        <w:bottom w:val="none" w:sz="0" w:space="0" w:color="auto"/>
        <w:right w:val="none" w:sz="0" w:space="0" w:color="auto"/>
      </w:divBdr>
    </w:div>
    <w:div w:id="9901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feldonhousing.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746</Words>
  <Characters>3950</Characters>
  <Application>Microsoft Office Word</Application>
  <DocSecurity>0</DocSecurity>
  <Lines>106</Lines>
  <Paragraphs>50</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Chinman Russell</dc:creator>
  <cp:keywords/>
  <dc:description/>
  <cp:lastModifiedBy>Simone Chinman Russell</cp:lastModifiedBy>
  <cp:revision>30</cp:revision>
  <dcterms:created xsi:type="dcterms:W3CDTF">2025-06-28T14:30:00Z</dcterms:created>
  <dcterms:modified xsi:type="dcterms:W3CDTF">2025-06-29T12:07:00Z</dcterms:modified>
</cp:coreProperties>
</file>